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560">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5920"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(αριθμός ΕΣΗΔΗΣ 383732)</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254250"/>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254250"/>
                          <a:chExt cx="6493510" cy="2254250"/>
                        </a:xfrm>
                      </wpg:grpSpPr>
                      <wps:wsp>
                        <wps:cNvPr id="20" name="Graphic 20"/>
                        <wps:cNvSpPr/>
                        <wps:spPr>
                          <a:xfrm>
                            <a:off x="-1" y="4"/>
                            <a:ext cx="6493510" cy="2248535"/>
                          </a:xfrm>
                          <a:custGeom>
                            <a:avLst/>
                            <a:gdLst/>
                            <a:ahLst/>
                            <a:cxnLst/>
                            <a:rect l="l" t="t" r="r" b="b"/>
                            <a:pathLst>
                              <a:path w="6493510" h="2248535">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239492"/>
                                </a:lnTo>
                                <a:lnTo>
                                  <a:pt x="2006" y="2244471"/>
                                </a:lnTo>
                                <a:lnTo>
                                  <a:pt x="5664" y="2248128"/>
                                </a:lnTo>
                                <a:lnTo>
                                  <a:pt x="12522" y="2241512"/>
                                </a:lnTo>
                                <a:lnTo>
                                  <a:pt x="10655" y="2239708"/>
                                </a:lnTo>
                                <a:lnTo>
                                  <a:pt x="9613" y="223723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237067"/>
                                </a:lnTo>
                                <a:lnTo>
                                  <a:pt x="6482791" y="2239556"/>
                                </a:lnTo>
                                <a:lnTo>
                                  <a:pt x="6480962" y="2241385"/>
                                </a:lnTo>
                                <a:lnTo>
                                  <a:pt x="6487465" y="2248357"/>
                                </a:lnTo>
                                <a:lnTo>
                                  <a:pt x="6491173" y="2244763"/>
                                </a:lnTo>
                                <a:lnTo>
                                  <a:pt x="6493281" y="2239822"/>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Graphic 22"/>
                        <wps:cNvSpPr/>
                        <wps:spPr>
                          <a:xfrm>
                            <a:off x="200112" y="1395023"/>
                            <a:ext cx="6093460" cy="563880"/>
                          </a:xfrm>
                          <a:custGeom>
                            <a:avLst/>
                            <a:gdLst/>
                            <a:ahLst/>
                            <a:cxnLst/>
                            <a:rect l="l" t="t" r="r" b="b"/>
                            <a:pathLst>
                              <a:path w="6093460" h="563880">
                                <a:moveTo>
                                  <a:pt x="6093142" y="553885"/>
                                </a:moveTo>
                                <a:lnTo>
                                  <a:pt x="0" y="553885"/>
                                </a:lnTo>
                                <a:lnTo>
                                  <a:pt x="0" y="563410"/>
                                </a:lnTo>
                                <a:lnTo>
                                  <a:pt x="6093142" y="563410"/>
                                </a:lnTo>
                                <a:lnTo>
                                  <a:pt x="6093142" y="553885"/>
                                </a:lnTo>
                                <a:close/>
                              </a:path>
                              <a:path w="6093460" h="56388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3" name="Textbox 23"/>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4" name="Textbox 24"/>
                        <wps:cNvSpPr txBox="1"/>
                        <wps:spPr>
                          <a:xfrm>
                            <a:off x="6260" y="367294"/>
                            <a:ext cx="6481445" cy="188023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line="252" w:lineRule="auto" w:before="11"/>
                                <w:ind w:left="295" w:right="159" w:firstLine="0"/>
                                <w:jc w:val="left"/>
                                <w:rPr>
                                  <w:sz w:val="19"/>
                                </w:rPr>
                              </w:pPr>
                              <w:r>
                                <w:rPr>
                                  <w:w w:val="105"/>
                                  <w:sz w:val="19"/>
                                </w:rPr>
                                <w:t>Δαπάνες συλλογής και μεταφοράς στερεών αποβλήτων και ανακυκλώσιμων υλικών μέσω </w:t>
                              </w:r>
                              <w:r>
                                <w:rPr>
                                  <w:w w:val="105"/>
                                  <w:sz w:val="19"/>
                                </w:rPr>
                                <w:t>δημόσιων συμβάσεων (μεταφορά ανακυκλώσιμων) για τα έτη 2025, 2026 και 2027</w:t>
                              </w:r>
                            </w:p>
                            <w:p>
                              <w:pPr>
                                <w:spacing w:before="149"/>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Μεταφορά ανακυκλώσιμων 2025 - </w:t>
                              </w:r>
                              <w:r>
                                <w:rPr>
                                  <w:spacing w:val="-4"/>
                                  <w:w w:val="105"/>
                                  <w:sz w:val="19"/>
                                </w:rPr>
                                <w:t>2027</w:t>
                              </w:r>
                            </w:p>
                            <w:p>
                              <w:pPr>
                                <w:spacing w:line="252" w:lineRule="auto" w:before="206"/>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77.5pt;mso-position-horizontal-relative:page;mso-position-vertical-relative:paragraph;z-index:-15726592;mso-wrap-distance-left:0;mso-wrap-distance-right:0" id="docshapegroup18" coordorigin="840,119" coordsize="10226,3550">
                <v:shape style="position:absolute;left:839;top:118;width:10226;height:3541" id="docshape19" coordorigin="840,119" coordsize="10226,3541" path="m11066,141l11062,133,11057,128,11057,128,11051,122,11044,119,862,119,855,122,849,127,849,128,843,133,840,141,840,3645,843,3653,849,3659,860,3649,857,3646,855,3642,855,145,857,141,859,138,862,135,866,134,11039,134,11043,135,11046,138,11046,138,11049,141,11051,145,11051,3642,11049,3645,11046,3648,11056,3659,11062,3654,11066,3646,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1155;top:2315;width:9596;height:888" id="docshape21" coordorigin="1155,2315" coordsize="9596,888" path="m10751,3188l1155,3188,1155,3203,10751,3203,10751,3188xm10751,2315l1155,2315,1155,2330,10751,2330,10751,2315xe" filled="true" fillcolor="#b3b3b3" stroked="false">
                  <v:path arrowok="t"/>
                  <v:fill type="solid"/>
                </v:shape>
                <v:shape style="position:absolute;left:870;top:148;width:10166;height:543" type="#_x0000_t202" id="docshape22"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shape style="position:absolute;left:849;top:697;width:10207;height:296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line="252" w:lineRule="auto" w:before="11"/>
                          <w:ind w:left="295" w:right="159" w:firstLine="0"/>
                          <w:jc w:val="left"/>
                          <w:rPr>
                            <w:sz w:val="19"/>
                          </w:rPr>
                        </w:pPr>
                        <w:r>
                          <w:rPr>
                            <w:w w:val="105"/>
                            <w:sz w:val="19"/>
                          </w:rPr>
                          <w:t>Δαπάνες συλλογής και μεταφοράς στερεών αποβλήτων και ανακυκλώσιμων υλικών μέσω </w:t>
                        </w:r>
                        <w:r>
                          <w:rPr>
                            <w:w w:val="105"/>
                            <w:sz w:val="19"/>
                          </w:rPr>
                          <w:t>δημόσιων συμβάσεων (μεταφορά ανακυκλώσιμων) για τα έτη 2025, 2026 και 2027</w:t>
                        </w:r>
                      </w:p>
                      <w:p>
                        <w:pPr>
                          <w:spacing w:before="149"/>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Μεταφορά ανακυκλώσιμων 2025 - </w:t>
                        </w:r>
                        <w:r>
                          <w:rPr>
                            <w:spacing w:val="-4"/>
                            <w:w w:val="105"/>
                            <w:sz w:val="19"/>
                          </w:rPr>
                          <w:t>2027</w:t>
                        </w:r>
                      </w:p>
                      <w:p>
                        <w:pPr>
                          <w:spacing w:line="252" w:lineRule="auto" w:before="206"/>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632">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2848"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704">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099776"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8240">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240"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752">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7728"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800">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5680"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20288">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192"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824">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4656"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3360">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120"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6432">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048"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992">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7488"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552">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4928"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4112">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368"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648">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0832"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6160">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320"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720">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7760"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40256">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224"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816">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3664"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8448">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032"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6128">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352"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2272">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208"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784">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3696"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5344">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136"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536">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6944"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10048">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432"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2025-10-23T05:04:05Z</dcterms:created>
  <dcterms:modified xsi:type="dcterms:W3CDTF">2025-10-23T05:04:05Z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2025-10-23T00:00:00Z</vt:filetime>
  </property>
  <property fmtid="{D5CDD505-2E9C-101B-9397-08002B2CF9AE}" pid="3" name="LastSaved">
    <vt:filetime>2025-10-23T00:00:00Z</vt:filetime>
  </property>
  <property fmtid="{D5CDD505-2E9C-101B-9397-08002B2CF9AE}" pid="4" name="Producer">
    <vt:lpwstr>openhtmltopdf.com</vt:lpwstr>
  </property>
</Properties>
</file>